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1123/21/VIE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0002/21/VIE/RT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TAMBASCO RAFFAELE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MELBOURNE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/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03-01-1972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Taegio, 9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27100 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Pavia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/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/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VIA RUDONE, 30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ROVATO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BS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15000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498,75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23-10-2021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17-09-2021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 STORE HOUSE S.r.l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0522/489040</w:t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storehouse@¢conadcentronord-it</w:t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/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/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>LB BRESCIANI LORENZO</w:t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498,75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17-09-2021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